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9D50" w14:textId="77777777" w:rsidR="005C7546" w:rsidRDefault="00C3685C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附件2: </w:t>
      </w:r>
    </w:p>
    <w:p w14:paraId="6085FC26" w14:textId="0E919655" w:rsidR="005C7546" w:rsidRDefault="00C3685C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WWF/</w:t>
      </w:r>
      <w:r w:rsidR="00173FD8" w:rsidRPr="00173FD8">
        <w:rPr>
          <w:rFonts w:ascii="宋体" w:eastAsia="宋体" w:hAnsi="宋体"/>
          <w:b/>
          <w:bCs/>
          <w:sz w:val="28"/>
          <w:szCs w:val="28"/>
        </w:rPr>
        <w:t>一个地球</w:t>
      </w:r>
      <w:r>
        <w:rPr>
          <w:rFonts w:ascii="宋体" w:eastAsia="宋体" w:hAnsi="宋体"/>
          <w:b/>
          <w:bCs/>
          <w:sz w:val="28"/>
          <w:szCs w:val="28"/>
        </w:rPr>
        <w:t>项目管理与财务要求</w:t>
      </w:r>
    </w:p>
    <w:p w14:paraId="0F2721D6" w14:textId="77777777" w:rsidR="005C7546" w:rsidRDefault="005C7546">
      <w:pPr>
        <w:outlineLvl w:val="0"/>
        <w:rPr>
          <w:rFonts w:ascii="宋体" w:eastAsia="宋体" w:hAnsi="宋体" w:cs="Arial"/>
          <w:sz w:val="18"/>
          <w:szCs w:val="18"/>
        </w:rPr>
      </w:pPr>
    </w:p>
    <w:p w14:paraId="6B49D506" w14:textId="77777777" w:rsidR="005C7546" w:rsidRDefault="00C3685C">
      <w:pPr>
        <w:rPr>
          <w:rFonts w:ascii="宋体" w:eastAsia="宋体" w:hAnsi="宋体" w:cs="Arial"/>
          <w:b/>
          <w:bCs/>
          <w:sz w:val="21"/>
          <w:szCs w:val="21"/>
        </w:rPr>
      </w:pPr>
      <w:r>
        <w:rPr>
          <w:rFonts w:ascii="宋体" w:eastAsia="宋体" w:hAnsi="宋体" w:cs="Arial" w:hint="eastAsia"/>
          <w:b/>
          <w:bCs/>
          <w:szCs w:val="21"/>
        </w:rPr>
        <w:t>一、</w:t>
      </w:r>
      <w:r>
        <w:rPr>
          <w:rFonts w:ascii="宋体" w:eastAsia="宋体" w:hAnsi="宋体" w:cs="Arial" w:hint="eastAsia"/>
          <w:b/>
          <w:bCs/>
          <w:sz w:val="21"/>
          <w:szCs w:val="21"/>
        </w:rPr>
        <w:t>预算要求：</w:t>
      </w:r>
    </w:p>
    <w:p w14:paraId="0A7E2F8F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1. 依据实际</w:t>
      </w:r>
      <w:r>
        <w:rPr>
          <w:rFonts w:ascii="宋体" w:eastAsia="宋体" w:hAnsi="宋体" w:hint="eastAsia"/>
          <w:sz w:val="21"/>
          <w:szCs w:val="21"/>
        </w:rPr>
        <w:t>开支</w:t>
      </w:r>
      <w:r>
        <w:rPr>
          <w:rFonts w:ascii="宋体" w:eastAsia="宋体" w:hAnsi="宋体"/>
          <w:sz w:val="21"/>
          <w:szCs w:val="21"/>
        </w:rPr>
        <w:t xml:space="preserve">需要编写 </w:t>
      </w:r>
    </w:p>
    <w:p w14:paraId="25F3357A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2. </w:t>
      </w:r>
      <w:r>
        <w:rPr>
          <w:rFonts w:ascii="宋体" w:eastAsia="宋体" w:hAnsi="宋体" w:hint="eastAsia"/>
          <w:sz w:val="21"/>
          <w:szCs w:val="21"/>
        </w:rPr>
        <w:t>管理费不高于1</w:t>
      </w:r>
      <w:r>
        <w:rPr>
          <w:rFonts w:ascii="宋体" w:eastAsia="宋体" w:hAnsi="宋体"/>
          <w:sz w:val="21"/>
          <w:szCs w:val="21"/>
        </w:rPr>
        <w:t>0%</w:t>
      </w:r>
      <w:r>
        <w:rPr>
          <w:rFonts w:ascii="宋体" w:eastAsia="宋体" w:hAnsi="宋体" w:hint="eastAsia"/>
          <w:sz w:val="21"/>
          <w:szCs w:val="21"/>
        </w:rPr>
        <w:t xml:space="preserve"> </w:t>
      </w:r>
    </w:p>
    <w:p w14:paraId="7E574975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3. 原则上1年期项目不支持购买固定资产</w:t>
      </w:r>
    </w:p>
    <w:p w14:paraId="75A9F9EC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4. 在费用</w:t>
      </w:r>
      <w:r>
        <w:rPr>
          <w:rFonts w:ascii="宋体" w:eastAsia="宋体" w:hAnsi="宋体" w:hint="eastAsia"/>
          <w:sz w:val="21"/>
          <w:szCs w:val="21"/>
        </w:rPr>
        <w:t>开支</w:t>
      </w:r>
      <w:r>
        <w:rPr>
          <w:rFonts w:ascii="宋体" w:eastAsia="宋体" w:hAnsi="宋体"/>
          <w:sz w:val="21"/>
          <w:szCs w:val="21"/>
        </w:rPr>
        <w:t xml:space="preserve">中不能出现烟酒、礼品、奢侈品以及休闲娱乐费用 </w:t>
      </w:r>
    </w:p>
    <w:p w14:paraId="14E5CCA5" w14:textId="77777777" w:rsidR="005C7546" w:rsidRDefault="005C7546">
      <w:pPr>
        <w:rPr>
          <w:rFonts w:ascii="Arial" w:hAnsi="Arial" w:cs="Arial"/>
          <w:sz w:val="18"/>
          <w:szCs w:val="18"/>
        </w:rPr>
      </w:pPr>
    </w:p>
    <w:p w14:paraId="4EE89DCC" w14:textId="77777777" w:rsidR="005C7546" w:rsidRDefault="00C3685C">
      <w:pPr>
        <w:rPr>
          <w:rFonts w:ascii="宋体" w:eastAsia="宋体" w:hAnsi="宋体" w:cs="Arial"/>
          <w:b/>
          <w:bCs/>
          <w:sz w:val="21"/>
          <w:szCs w:val="21"/>
        </w:rPr>
      </w:pPr>
      <w:r>
        <w:rPr>
          <w:rFonts w:ascii="宋体" w:eastAsia="宋体" w:hAnsi="宋体" w:cs="Arial" w:hint="eastAsia"/>
          <w:b/>
          <w:bCs/>
          <w:sz w:val="21"/>
          <w:szCs w:val="21"/>
        </w:rPr>
        <w:t>二、费用标准</w:t>
      </w:r>
      <w:r>
        <w:rPr>
          <w:rFonts w:ascii="宋体" w:eastAsia="宋体" w:hAnsi="宋体" w:cs="Arial" w:hint="eastAsia"/>
          <w:b/>
          <w:bCs/>
          <w:szCs w:val="21"/>
        </w:rPr>
        <w:t>（仅适用于中国境内发生的费用）</w:t>
      </w:r>
    </w:p>
    <w:p w14:paraId="4CFA7C5E" w14:textId="77777777" w:rsidR="005C7546" w:rsidRDefault="00C3685C">
      <w:pPr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/>
          <w:b/>
          <w:bCs/>
          <w:sz w:val="21"/>
          <w:szCs w:val="21"/>
        </w:rPr>
        <w:t>1.  业务招待费</w:t>
      </w:r>
    </w:p>
    <w:p w14:paraId="4081F325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1.1 业务招待费上限标准：与工作相关的业务招待费 ≤ 人民币150 元/人/餐</w:t>
      </w:r>
    </w:p>
    <w:p w14:paraId="5459B9D7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1.2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>必须在报销单上列明：</w:t>
      </w:r>
    </w:p>
    <w:p w14:paraId="113B606C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出席人员名单、职务和工作单位</w:t>
      </w:r>
    </w:p>
    <w:p w14:paraId="2DEED79E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招待原因和目的。</w:t>
      </w:r>
    </w:p>
    <w:p w14:paraId="3ED28DB5" w14:textId="77777777" w:rsidR="005C7546" w:rsidRDefault="00C3685C">
      <w:pPr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/>
          <w:b/>
          <w:bCs/>
          <w:sz w:val="21"/>
          <w:szCs w:val="21"/>
        </w:rPr>
        <w:t>2. 会议/研讨会</w:t>
      </w:r>
    </w:p>
    <w:p w14:paraId="2E933345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</w:t>
      </w:r>
      <w:r>
        <w:rPr>
          <w:rFonts w:ascii="宋体" w:eastAsia="宋体" w:hAnsi="宋体"/>
          <w:sz w:val="21"/>
          <w:szCs w:val="21"/>
        </w:rPr>
        <w:t>.1 会议/研讨会相关费用上限标准:</w:t>
      </w:r>
    </w:p>
    <w:p w14:paraId="6022A1BA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会议室租金 ≤ 人民币300 元/人/天</w:t>
      </w:r>
    </w:p>
    <w:p w14:paraId="2BA3373C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会议/研讨会的餐费 ≤ 人民币150 元/人/餐</w:t>
      </w:r>
    </w:p>
    <w:p w14:paraId="2F8ACA65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</w:t>
      </w:r>
      <w:r>
        <w:rPr>
          <w:rFonts w:ascii="宋体" w:eastAsia="宋体" w:hAnsi="宋体"/>
          <w:sz w:val="21"/>
          <w:szCs w:val="21"/>
        </w:rPr>
        <w:t>.2 报销相关费用时须提供：</w:t>
      </w:r>
    </w:p>
    <w:p w14:paraId="7A83571C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会议日程；</w:t>
      </w:r>
    </w:p>
    <w:p w14:paraId="1BB1C5E2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参会人员签到表；</w:t>
      </w:r>
    </w:p>
    <w:p w14:paraId="0E013A8F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酒店或会议中心提供的消费明细和原始发票。</w:t>
      </w:r>
    </w:p>
    <w:p w14:paraId="6030300D" w14:textId="77777777" w:rsidR="005C7546" w:rsidRDefault="00C3685C">
      <w:pPr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/>
          <w:b/>
          <w:bCs/>
          <w:sz w:val="21"/>
          <w:szCs w:val="21"/>
        </w:rPr>
        <w:t>3. 差旅</w:t>
      </w:r>
    </w:p>
    <w:p w14:paraId="33B05417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.1 出差住宿应选择价格合理的中档酒店，房费价格（含早餐）费用的上限标准如下：</w:t>
      </w:r>
    </w:p>
    <w:p w14:paraId="0E96C961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房间（含早餐）≤ 人民币500 元/间/晚</w:t>
      </w:r>
    </w:p>
    <w:p w14:paraId="49B84B9B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不报销酒店洗衣服务费。</w:t>
      </w:r>
    </w:p>
    <w:p w14:paraId="3E394A15" w14:textId="0240FE2B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可以报销合理的一日三餐（包括简餐）的费用，报销时须提供正规发票。</w:t>
      </w:r>
    </w:p>
    <w:p w14:paraId="36DBDA20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.2 差旅餐费上限标准：</w:t>
      </w:r>
    </w:p>
    <w:p w14:paraId="2B4BD6F1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-</w:t>
      </w:r>
      <w:r>
        <w:rPr>
          <w:rFonts w:ascii="宋体" w:eastAsia="宋体" w:hAnsi="宋体"/>
          <w:sz w:val="21"/>
          <w:szCs w:val="21"/>
        </w:rPr>
        <w:t xml:space="preserve"> 差旅餐费 ≤ 人民币150 元/人/天</w:t>
      </w:r>
    </w:p>
    <w:p w14:paraId="1781A2CF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3.3 差旅机票及火车票上限标准：</w:t>
      </w:r>
    </w:p>
    <w:p w14:paraId="634FAF12" w14:textId="77777777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- 机票报销原则：只得乘坐经济舱。</w:t>
      </w:r>
      <w:proofErr w:type="gramStart"/>
      <w:r>
        <w:rPr>
          <w:rFonts w:ascii="宋体" w:eastAsia="宋体" w:hAnsi="宋体"/>
          <w:sz w:val="21"/>
          <w:szCs w:val="21"/>
        </w:rPr>
        <w:t>报销时须提供机票行程单与登机牌；</w:t>
      </w:r>
      <w:proofErr w:type="gramEnd"/>
    </w:p>
    <w:p w14:paraId="02FC3782" w14:textId="12636F72" w:rsidR="005C7546" w:rsidRDefault="00C3685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-</w:t>
      </w:r>
      <w:r>
        <w:rPr>
          <w:rFonts w:ascii="宋体" w:eastAsia="宋体" w:hAnsi="宋体"/>
          <w:sz w:val="21"/>
          <w:szCs w:val="21"/>
        </w:rPr>
        <w:t xml:space="preserve"> 火车票报销原则</w:t>
      </w:r>
      <w:r w:rsidR="00173FD8">
        <w:rPr>
          <w:rFonts w:ascii="宋体" w:eastAsia="宋体" w:hAnsi="宋体" w:hint="eastAsia"/>
          <w:sz w:val="21"/>
          <w:szCs w:val="21"/>
        </w:rPr>
        <w:t>：</w:t>
      </w:r>
      <w:r>
        <w:rPr>
          <w:rFonts w:ascii="宋体" w:eastAsia="宋体" w:hAnsi="宋体"/>
          <w:sz w:val="21"/>
          <w:szCs w:val="21"/>
        </w:rPr>
        <w:t>可乘坐普快、高铁或动车，但不得乘坐一等座</w:t>
      </w:r>
      <w:r>
        <w:rPr>
          <w:rFonts w:ascii="宋体" w:eastAsia="宋体" w:hAnsi="宋体" w:hint="eastAsia"/>
          <w:sz w:val="21"/>
          <w:szCs w:val="21"/>
        </w:rPr>
        <w:t>。</w:t>
      </w:r>
      <w:r>
        <w:rPr>
          <w:rFonts w:ascii="宋体" w:eastAsia="宋体" w:hAnsi="宋体"/>
          <w:sz w:val="21"/>
          <w:szCs w:val="21"/>
        </w:rPr>
        <w:t>报销时须提供相应车票。</w:t>
      </w:r>
    </w:p>
    <w:p w14:paraId="20EA3445" w14:textId="77777777" w:rsidR="005C7546" w:rsidRDefault="005C7546">
      <w:pPr>
        <w:rPr>
          <w:rFonts w:ascii="宋体" w:eastAsia="宋体" w:hAnsi="宋体"/>
          <w:sz w:val="21"/>
          <w:szCs w:val="21"/>
        </w:rPr>
      </w:pPr>
    </w:p>
    <w:sectPr w:rsidR="005C7546">
      <w:footerReference w:type="default" r:id="rId9"/>
      <w:pgSz w:w="11900" w:h="16840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BBB5" w14:textId="77777777" w:rsidR="00CA2317" w:rsidRDefault="00CA2317">
      <w:r>
        <w:separator/>
      </w:r>
    </w:p>
  </w:endnote>
  <w:endnote w:type="continuationSeparator" w:id="0">
    <w:p w14:paraId="276B4169" w14:textId="77777777" w:rsidR="00CA2317" w:rsidRDefault="00CA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9AD" w14:textId="63074178" w:rsidR="00446B2A" w:rsidRPr="00F557F7" w:rsidRDefault="00446B2A">
    <w:pPr>
      <w:pStyle w:val="Footer"/>
      <w:tabs>
        <w:tab w:val="center" w:pos="4535"/>
        <w:tab w:val="center" w:pos="6980"/>
        <w:tab w:val="left" w:pos="7860"/>
        <w:tab w:val="left" w:pos="7905"/>
        <w:tab w:val="left" w:pos="8085"/>
        <w:tab w:val="left" w:pos="12390"/>
      </w:tabs>
      <w:jc w:val="center"/>
      <w:rPr>
        <w:b/>
      </w:rPr>
    </w:pPr>
    <w:r>
      <w:rPr>
        <w:kern w:val="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C6E9" w14:textId="77777777" w:rsidR="00CA2317" w:rsidRDefault="00CA2317">
      <w:r>
        <w:separator/>
      </w:r>
    </w:p>
  </w:footnote>
  <w:footnote w:type="continuationSeparator" w:id="0">
    <w:p w14:paraId="30B6F9F5" w14:textId="77777777" w:rsidR="00CA2317" w:rsidRDefault="00CA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198D"/>
    <w:multiLevelType w:val="multilevel"/>
    <w:tmpl w:val="1408198D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1B"/>
    <w:rsid w:val="00002E37"/>
    <w:rsid w:val="0000442C"/>
    <w:rsid w:val="00015858"/>
    <w:rsid w:val="00022443"/>
    <w:rsid w:val="00031168"/>
    <w:rsid w:val="0003502C"/>
    <w:rsid w:val="000368D5"/>
    <w:rsid w:val="000406E8"/>
    <w:rsid w:val="00040FB1"/>
    <w:rsid w:val="0004515C"/>
    <w:rsid w:val="00073405"/>
    <w:rsid w:val="00074D78"/>
    <w:rsid w:val="00080AF3"/>
    <w:rsid w:val="00082241"/>
    <w:rsid w:val="00084667"/>
    <w:rsid w:val="00091488"/>
    <w:rsid w:val="00091D38"/>
    <w:rsid w:val="00093076"/>
    <w:rsid w:val="00093ACA"/>
    <w:rsid w:val="00097512"/>
    <w:rsid w:val="000B13D8"/>
    <w:rsid w:val="000B3FBE"/>
    <w:rsid w:val="000C15D9"/>
    <w:rsid w:val="000D0D8F"/>
    <w:rsid w:val="000D7F46"/>
    <w:rsid w:val="000E141A"/>
    <w:rsid w:val="000F16F1"/>
    <w:rsid w:val="001472CC"/>
    <w:rsid w:val="00151F06"/>
    <w:rsid w:val="00153430"/>
    <w:rsid w:val="0016317D"/>
    <w:rsid w:val="0016354B"/>
    <w:rsid w:val="0016509F"/>
    <w:rsid w:val="00172FE0"/>
    <w:rsid w:val="00173C69"/>
    <w:rsid w:val="00173FD8"/>
    <w:rsid w:val="00183F7E"/>
    <w:rsid w:val="00195F1F"/>
    <w:rsid w:val="001A6E62"/>
    <w:rsid w:val="001A7A21"/>
    <w:rsid w:val="001E0FEE"/>
    <w:rsid w:val="001E43C6"/>
    <w:rsid w:val="001E5461"/>
    <w:rsid w:val="001E63BC"/>
    <w:rsid w:val="001F046B"/>
    <w:rsid w:val="001F480E"/>
    <w:rsid w:val="00223C8D"/>
    <w:rsid w:val="0023205E"/>
    <w:rsid w:val="0023686A"/>
    <w:rsid w:val="002371AD"/>
    <w:rsid w:val="00253DE4"/>
    <w:rsid w:val="00263C18"/>
    <w:rsid w:val="0027004D"/>
    <w:rsid w:val="00291E4E"/>
    <w:rsid w:val="00293B8E"/>
    <w:rsid w:val="002A420A"/>
    <w:rsid w:val="002B07CC"/>
    <w:rsid w:val="002C11FE"/>
    <w:rsid w:val="002C3709"/>
    <w:rsid w:val="002D215F"/>
    <w:rsid w:val="002D5FC8"/>
    <w:rsid w:val="002E2342"/>
    <w:rsid w:val="002E5D92"/>
    <w:rsid w:val="00304A78"/>
    <w:rsid w:val="00311339"/>
    <w:rsid w:val="00314984"/>
    <w:rsid w:val="00322270"/>
    <w:rsid w:val="00322E04"/>
    <w:rsid w:val="0033618E"/>
    <w:rsid w:val="00340445"/>
    <w:rsid w:val="0035166A"/>
    <w:rsid w:val="00352951"/>
    <w:rsid w:val="003614DB"/>
    <w:rsid w:val="0036165E"/>
    <w:rsid w:val="0036411C"/>
    <w:rsid w:val="00367E7C"/>
    <w:rsid w:val="003851E0"/>
    <w:rsid w:val="00385734"/>
    <w:rsid w:val="003A66C2"/>
    <w:rsid w:val="003B74C4"/>
    <w:rsid w:val="003D23EC"/>
    <w:rsid w:val="003F0F7F"/>
    <w:rsid w:val="003F3604"/>
    <w:rsid w:val="003F69FD"/>
    <w:rsid w:val="0040068A"/>
    <w:rsid w:val="00405E4A"/>
    <w:rsid w:val="0040781F"/>
    <w:rsid w:val="00424DC5"/>
    <w:rsid w:val="00446B2A"/>
    <w:rsid w:val="00457C10"/>
    <w:rsid w:val="00464F28"/>
    <w:rsid w:val="00465F32"/>
    <w:rsid w:val="004955E9"/>
    <w:rsid w:val="004A554B"/>
    <w:rsid w:val="004C0529"/>
    <w:rsid w:val="004D1156"/>
    <w:rsid w:val="004D3D79"/>
    <w:rsid w:val="004E17ED"/>
    <w:rsid w:val="004F480E"/>
    <w:rsid w:val="00514384"/>
    <w:rsid w:val="00517A28"/>
    <w:rsid w:val="0052114E"/>
    <w:rsid w:val="00530920"/>
    <w:rsid w:val="00532C1B"/>
    <w:rsid w:val="00547E8D"/>
    <w:rsid w:val="00557354"/>
    <w:rsid w:val="005644A2"/>
    <w:rsid w:val="005647A1"/>
    <w:rsid w:val="0057455F"/>
    <w:rsid w:val="005846C9"/>
    <w:rsid w:val="00586588"/>
    <w:rsid w:val="0059479E"/>
    <w:rsid w:val="005A7E35"/>
    <w:rsid w:val="005B0B43"/>
    <w:rsid w:val="005B2143"/>
    <w:rsid w:val="005B7ED8"/>
    <w:rsid w:val="005C7394"/>
    <w:rsid w:val="005C7546"/>
    <w:rsid w:val="005E1A8E"/>
    <w:rsid w:val="005E2159"/>
    <w:rsid w:val="005E75FF"/>
    <w:rsid w:val="005F6E7E"/>
    <w:rsid w:val="00601CDD"/>
    <w:rsid w:val="00601EA6"/>
    <w:rsid w:val="006051B6"/>
    <w:rsid w:val="0060604F"/>
    <w:rsid w:val="006261DD"/>
    <w:rsid w:val="00633CD5"/>
    <w:rsid w:val="00640014"/>
    <w:rsid w:val="006521E3"/>
    <w:rsid w:val="006649A2"/>
    <w:rsid w:val="0066633B"/>
    <w:rsid w:val="0069001A"/>
    <w:rsid w:val="006A124F"/>
    <w:rsid w:val="006C1660"/>
    <w:rsid w:val="006D3808"/>
    <w:rsid w:val="006F1924"/>
    <w:rsid w:val="006F3EB9"/>
    <w:rsid w:val="00704FB0"/>
    <w:rsid w:val="0072537B"/>
    <w:rsid w:val="0073141B"/>
    <w:rsid w:val="0074325A"/>
    <w:rsid w:val="007455B4"/>
    <w:rsid w:val="007456E7"/>
    <w:rsid w:val="00755E35"/>
    <w:rsid w:val="0076208C"/>
    <w:rsid w:val="00767149"/>
    <w:rsid w:val="00771E03"/>
    <w:rsid w:val="00775667"/>
    <w:rsid w:val="00782A5D"/>
    <w:rsid w:val="00784CEA"/>
    <w:rsid w:val="00797CB9"/>
    <w:rsid w:val="007B1606"/>
    <w:rsid w:val="007D2F89"/>
    <w:rsid w:val="007D35F5"/>
    <w:rsid w:val="007D5717"/>
    <w:rsid w:val="007F2668"/>
    <w:rsid w:val="007F66B9"/>
    <w:rsid w:val="00816095"/>
    <w:rsid w:val="00817FBF"/>
    <w:rsid w:val="00821A1B"/>
    <w:rsid w:val="00827776"/>
    <w:rsid w:val="00827FFB"/>
    <w:rsid w:val="00832BC5"/>
    <w:rsid w:val="00834BF4"/>
    <w:rsid w:val="00837F15"/>
    <w:rsid w:val="00844A20"/>
    <w:rsid w:val="00845BF5"/>
    <w:rsid w:val="00857E82"/>
    <w:rsid w:val="00857EFE"/>
    <w:rsid w:val="00860395"/>
    <w:rsid w:val="0086739A"/>
    <w:rsid w:val="00875ED2"/>
    <w:rsid w:val="00882DA5"/>
    <w:rsid w:val="008901AA"/>
    <w:rsid w:val="00893F8A"/>
    <w:rsid w:val="0089456E"/>
    <w:rsid w:val="008A3061"/>
    <w:rsid w:val="008B6D33"/>
    <w:rsid w:val="008C56A6"/>
    <w:rsid w:val="008D46F9"/>
    <w:rsid w:val="008E78A9"/>
    <w:rsid w:val="008E78D4"/>
    <w:rsid w:val="008F050D"/>
    <w:rsid w:val="008F0609"/>
    <w:rsid w:val="008F53C9"/>
    <w:rsid w:val="008F5F31"/>
    <w:rsid w:val="00901B4B"/>
    <w:rsid w:val="009154E9"/>
    <w:rsid w:val="00916D88"/>
    <w:rsid w:val="0092339A"/>
    <w:rsid w:val="009309C5"/>
    <w:rsid w:val="00934F9B"/>
    <w:rsid w:val="00937C32"/>
    <w:rsid w:val="00943EF7"/>
    <w:rsid w:val="009524BD"/>
    <w:rsid w:val="00953CA2"/>
    <w:rsid w:val="00954F9B"/>
    <w:rsid w:val="0096447E"/>
    <w:rsid w:val="00973FD9"/>
    <w:rsid w:val="00985B6F"/>
    <w:rsid w:val="0099325B"/>
    <w:rsid w:val="009962F3"/>
    <w:rsid w:val="009E2F38"/>
    <w:rsid w:val="009E57AF"/>
    <w:rsid w:val="009F547B"/>
    <w:rsid w:val="00A00A57"/>
    <w:rsid w:val="00A0295B"/>
    <w:rsid w:val="00A02A5A"/>
    <w:rsid w:val="00A061DB"/>
    <w:rsid w:val="00A10498"/>
    <w:rsid w:val="00A1139A"/>
    <w:rsid w:val="00A146E7"/>
    <w:rsid w:val="00A202C2"/>
    <w:rsid w:val="00A21830"/>
    <w:rsid w:val="00A34593"/>
    <w:rsid w:val="00A37C55"/>
    <w:rsid w:val="00A45499"/>
    <w:rsid w:val="00A45A07"/>
    <w:rsid w:val="00A5594A"/>
    <w:rsid w:val="00A55F8A"/>
    <w:rsid w:val="00A636A6"/>
    <w:rsid w:val="00A6567B"/>
    <w:rsid w:val="00A7089E"/>
    <w:rsid w:val="00A7500D"/>
    <w:rsid w:val="00A83E96"/>
    <w:rsid w:val="00A974F8"/>
    <w:rsid w:val="00AA1B05"/>
    <w:rsid w:val="00AA23DA"/>
    <w:rsid w:val="00AA72C0"/>
    <w:rsid w:val="00AB14D2"/>
    <w:rsid w:val="00AC5780"/>
    <w:rsid w:val="00AD0A0E"/>
    <w:rsid w:val="00AD6D9C"/>
    <w:rsid w:val="00AF0972"/>
    <w:rsid w:val="00B061D3"/>
    <w:rsid w:val="00B07026"/>
    <w:rsid w:val="00B11036"/>
    <w:rsid w:val="00B33184"/>
    <w:rsid w:val="00B441DA"/>
    <w:rsid w:val="00B50A64"/>
    <w:rsid w:val="00B50E5A"/>
    <w:rsid w:val="00B5385D"/>
    <w:rsid w:val="00B66BD7"/>
    <w:rsid w:val="00B718D5"/>
    <w:rsid w:val="00B74538"/>
    <w:rsid w:val="00B7465E"/>
    <w:rsid w:val="00B8021F"/>
    <w:rsid w:val="00B830E8"/>
    <w:rsid w:val="00B909E4"/>
    <w:rsid w:val="00B91898"/>
    <w:rsid w:val="00B94691"/>
    <w:rsid w:val="00B9637D"/>
    <w:rsid w:val="00BA5BE3"/>
    <w:rsid w:val="00BB2083"/>
    <w:rsid w:val="00BB24FA"/>
    <w:rsid w:val="00BC0CA5"/>
    <w:rsid w:val="00BD306D"/>
    <w:rsid w:val="00BE006C"/>
    <w:rsid w:val="00BF6A63"/>
    <w:rsid w:val="00BF792A"/>
    <w:rsid w:val="00C022F4"/>
    <w:rsid w:val="00C11E1C"/>
    <w:rsid w:val="00C16DC2"/>
    <w:rsid w:val="00C24EE1"/>
    <w:rsid w:val="00C31AEE"/>
    <w:rsid w:val="00C327C7"/>
    <w:rsid w:val="00C330FF"/>
    <w:rsid w:val="00C33146"/>
    <w:rsid w:val="00C3685C"/>
    <w:rsid w:val="00C43D71"/>
    <w:rsid w:val="00C536C5"/>
    <w:rsid w:val="00C55893"/>
    <w:rsid w:val="00C56663"/>
    <w:rsid w:val="00C61D2A"/>
    <w:rsid w:val="00C70790"/>
    <w:rsid w:val="00C734D9"/>
    <w:rsid w:val="00CA1076"/>
    <w:rsid w:val="00CA2317"/>
    <w:rsid w:val="00CA7636"/>
    <w:rsid w:val="00CB12B0"/>
    <w:rsid w:val="00CB46FF"/>
    <w:rsid w:val="00CB6BD0"/>
    <w:rsid w:val="00CC0B6E"/>
    <w:rsid w:val="00CC1372"/>
    <w:rsid w:val="00CD238A"/>
    <w:rsid w:val="00D012BA"/>
    <w:rsid w:val="00D24CDC"/>
    <w:rsid w:val="00D258BC"/>
    <w:rsid w:val="00D31B65"/>
    <w:rsid w:val="00D3341F"/>
    <w:rsid w:val="00D55B5A"/>
    <w:rsid w:val="00D65900"/>
    <w:rsid w:val="00D729D1"/>
    <w:rsid w:val="00D815FE"/>
    <w:rsid w:val="00D832E1"/>
    <w:rsid w:val="00D938A3"/>
    <w:rsid w:val="00D93D52"/>
    <w:rsid w:val="00DA7E1B"/>
    <w:rsid w:val="00DB318C"/>
    <w:rsid w:val="00DB3722"/>
    <w:rsid w:val="00DD0C38"/>
    <w:rsid w:val="00DE5D9B"/>
    <w:rsid w:val="00DF16D4"/>
    <w:rsid w:val="00E02828"/>
    <w:rsid w:val="00E05044"/>
    <w:rsid w:val="00E0591E"/>
    <w:rsid w:val="00E1059B"/>
    <w:rsid w:val="00E1603A"/>
    <w:rsid w:val="00E215CB"/>
    <w:rsid w:val="00E23A82"/>
    <w:rsid w:val="00E3368A"/>
    <w:rsid w:val="00E36C8C"/>
    <w:rsid w:val="00E36EBF"/>
    <w:rsid w:val="00E40971"/>
    <w:rsid w:val="00E67450"/>
    <w:rsid w:val="00E9295E"/>
    <w:rsid w:val="00E93749"/>
    <w:rsid w:val="00E94590"/>
    <w:rsid w:val="00EB527E"/>
    <w:rsid w:val="00ED0D75"/>
    <w:rsid w:val="00ED37CF"/>
    <w:rsid w:val="00ED4E05"/>
    <w:rsid w:val="00ED5EB4"/>
    <w:rsid w:val="00EE7263"/>
    <w:rsid w:val="00EE7E19"/>
    <w:rsid w:val="00EF4AF1"/>
    <w:rsid w:val="00F03393"/>
    <w:rsid w:val="00F06E4D"/>
    <w:rsid w:val="00F119B6"/>
    <w:rsid w:val="00F16BB8"/>
    <w:rsid w:val="00F245D5"/>
    <w:rsid w:val="00F27C86"/>
    <w:rsid w:val="00F3270C"/>
    <w:rsid w:val="00F36F32"/>
    <w:rsid w:val="00F44123"/>
    <w:rsid w:val="00F531BF"/>
    <w:rsid w:val="00F5525D"/>
    <w:rsid w:val="00F557F7"/>
    <w:rsid w:val="00F6391B"/>
    <w:rsid w:val="00F65205"/>
    <w:rsid w:val="00F67FE7"/>
    <w:rsid w:val="00F708BF"/>
    <w:rsid w:val="00F7531A"/>
    <w:rsid w:val="00F87CF3"/>
    <w:rsid w:val="00F91C9C"/>
    <w:rsid w:val="00F97161"/>
    <w:rsid w:val="00FA0883"/>
    <w:rsid w:val="00FA176F"/>
    <w:rsid w:val="00FA1918"/>
    <w:rsid w:val="00FB47F6"/>
    <w:rsid w:val="00FB4B8B"/>
    <w:rsid w:val="00FB6121"/>
    <w:rsid w:val="00FB62B6"/>
    <w:rsid w:val="00FD48F0"/>
    <w:rsid w:val="00FE04A6"/>
    <w:rsid w:val="00FF3D05"/>
    <w:rsid w:val="00FF5687"/>
    <w:rsid w:val="11C43C67"/>
    <w:rsid w:val="22CB1B87"/>
    <w:rsid w:val="49136E84"/>
    <w:rsid w:val="5A957D96"/>
    <w:rsid w:val="690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05E1C"/>
  <w15:docId w15:val="{7412653D-F669-4B22-A029-E8DC8B51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 w:qFormat="1"/>
    <w:lsdException w:name="toc 4" w:uiPriority="39" w:unhideWhenUsed="1"/>
    <w:lsdException w:name="toc 5" w:uiPriority="39" w:unhideWhenUsed="1" w:qFormat="1"/>
    <w:lsdException w:name="toc 6" w:uiPriority="39" w:unhideWhenUsed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SimSun-ExtB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uiPriority w:val="39"/>
    <w:unhideWhenUsed/>
    <w:qFormat/>
    <w:pPr>
      <w:ind w:left="1260"/>
      <w:jc w:val="left"/>
    </w:pPr>
    <w:rPr>
      <w:rFonts w:eastAsiaTheme="minorHAns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BodyTextIndent">
    <w:name w:val="Body Text Indent"/>
    <w:basedOn w:val="Normal"/>
    <w:link w:val="BodyTextIndentChar"/>
    <w:semiHidden/>
    <w:qFormat/>
    <w:pPr>
      <w:spacing w:before="120" w:line="480" w:lineRule="atLeast"/>
      <w:ind w:firstLine="539"/>
    </w:pPr>
    <w:rPr>
      <w:rFonts w:ascii="Times New Roman" w:eastAsia="宋体" w:hAnsi="Times New Roman" w:cs="Times New Roman"/>
      <w:sz w:val="28"/>
    </w:rPr>
  </w:style>
  <w:style w:type="paragraph" w:styleId="TOC5">
    <w:name w:val="toc 5"/>
    <w:basedOn w:val="Normal"/>
    <w:next w:val="Normal"/>
    <w:uiPriority w:val="39"/>
    <w:unhideWhenUsed/>
    <w:qFormat/>
    <w:pPr>
      <w:ind w:left="840"/>
      <w:jc w:val="left"/>
    </w:pPr>
    <w:rPr>
      <w:rFonts w:eastAsiaTheme="minorHAnsi"/>
      <w:sz w:val="18"/>
      <w:szCs w:val="18"/>
    </w:rPr>
  </w:style>
  <w:style w:type="paragraph" w:styleId="TOC3">
    <w:name w:val="toc 3"/>
    <w:basedOn w:val="Normal"/>
    <w:next w:val="Normal"/>
    <w:uiPriority w:val="39"/>
    <w:unhideWhenUsed/>
    <w:qFormat/>
    <w:pPr>
      <w:ind w:left="420"/>
      <w:jc w:val="left"/>
    </w:pPr>
    <w:rPr>
      <w:rFonts w:eastAsiaTheme="minorHAnsi"/>
      <w:i/>
      <w:iCs/>
      <w:sz w:val="20"/>
      <w:szCs w:val="20"/>
    </w:rPr>
  </w:style>
  <w:style w:type="paragraph" w:styleId="TOC8">
    <w:name w:val="toc 8"/>
    <w:basedOn w:val="Normal"/>
    <w:next w:val="Normal"/>
    <w:uiPriority w:val="39"/>
    <w:unhideWhenUsed/>
    <w:qFormat/>
    <w:pPr>
      <w:ind w:left="1470"/>
      <w:jc w:val="left"/>
    </w:pPr>
    <w:rPr>
      <w:rFonts w:eastAsiaTheme="minorHAnsi"/>
      <w:sz w:val="18"/>
      <w:szCs w:val="18"/>
    </w:rPr>
  </w:style>
  <w:style w:type="paragraph" w:styleId="Date">
    <w:name w:val="Date"/>
    <w:basedOn w:val="Normal"/>
    <w:next w:val="Normal"/>
    <w:link w:val="DateChar"/>
    <w:semiHidden/>
    <w:rPr>
      <w:rFonts w:ascii="宋体" w:eastAsia="宋体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8290"/>
      </w:tabs>
      <w:spacing w:before="120" w:after="120"/>
      <w:jc w:val="center"/>
    </w:pPr>
    <w:rPr>
      <w:rFonts w:eastAsiaTheme="minorHAnsi"/>
      <w:b/>
      <w:bCs/>
      <w:caps/>
      <w:sz w:val="20"/>
      <w:szCs w:val="20"/>
    </w:rPr>
  </w:style>
  <w:style w:type="paragraph" w:styleId="TOC4">
    <w:name w:val="toc 4"/>
    <w:basedOn w:val="Normal"/>
    <w:next w:val="Normal"/>
    <w:uiPriority w:val="39"/>
    <w:unhideWhenUsed/>
    <w:pPr>
      <w:ind w:left="630"/>
      <w:jc w:val="left"/>
    </w:pPr>
    <w:rPr>
      <w:rFonts w:eastAsiaTheme="minorHAnsi"/>
      <w:sz w:val="18"/>
      <w:szCs w:val="18"/>
    </w:rPr>
  </w:style>
  <w:style w:type="paragraph" w:styleId="TOC6">
    <w:name w:val="toc 6"/>
    <w:basedOn w:val="Normal"/>
    <w:next w:val="Normal"/>
    <w:uiPriority w:val="39"/>
    <w:unhideWhenUsed/>
    <w:pPr>
      <w:ind w:left="1050"/>
      <w:jc w:val="left"/>
    </w:pPr>
    <w:rPr>
      <w:rFonts w:eastAsiaTheme="minorHAnsi"/>
      <w:sz w:val="18"/>
      <w:szCs w:val="18"/>
    </w:rPr>
  </w:style>
  <w:style w:type="paragraph" w:styleId="TOC2">
    <w:name w:val="toc 2"/>
    <w:basedOn w:val="Normal"/>
    <w:next w:val="Normal"/>
    <w:uiPriority w:val="39"/>
    <w:unhideWhenUsed/>
    <w:pPr>
      <w:ind w:left="210"/>
      <w:jc w:val="left"/>
    </w:pPr>
    <w:rPr>
      <w:rFonts w:eastAsiaTheme="minorHAnsi"/>
      <w:smallCaps/>
      <w:sz w:val="20"/>
      <w:szCs w:val="20"/>
    </w:rPr>
  </w:style>
  <w:style w:type="paragraph" w:styleId="TOC9">
    <w:name w:val="toc 9"/>
    <w:basedOn w:val="Normal"/>
    <w:next w:val="Normal"/>
    <w:uiPriority w:val="39"/>
    <w:unhideWhenUsed/>
    <w:qFormat/>
    <w:pPr>
      <w:ind w:left="1680"/>
      <w:jc w:val="left"/>
    </w:pPr>
    <w:rPr>
      <w:rFonts w:eastAsia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宋体" w:eastAsia="宋体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Times New Roman" w:eastAsia="宋体" w:hAnsi="Times New Roman" w:cs="Times New Roman"/>
      <w:sz w:val="28"/>
    </w:rPr>
  </w:style>
  <w:style w:type="character" w:customStyle="1" w:styleId="DateChar">
    <w:name w:val="Date Char"/>
    <w:basedOn w:val="DefaultParagraphFont"/>
    <w:link w:val="Date"/>
    <w:semiHidden/>
    <w:qFormat/>
    <w:rPr>
      <w:rFonts w:ascii="宋体" w:eastAsia="宋体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="SimSun-ExtB"/>
      <w:b/>
      <w:bCs/>
      <w:kern w:val="44"/>
      <w:sz w:val="30"/>
      <w:szCs w:val="44"/>
    </w:rPr>
  </w:style>
  <w:style w:type="paragraph" w:customStyle="1" w:styleId="TOC10">
    <w:name w:val="TOC 标题1"/>
    <w:basedOn w:val="Heading1"/>
    <w:next w:val="Normal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customStyle="1" w:styleId="1">
    <w:name w:val="样式1"/>
    <w:basedOn w:val="Heading1"/>
    <w:qFormat/>
    <w:rPr>
      <w:rFonts w:ascii="宋体" w:eastAsia="宋体" w:hAnsi="宋体"/>
      <w:szCs w:val="30"/>
    </w:rPr>
  </w:style>
  <w:style w:type="paragraph" w:customStyle="1" w:styleId="2">
    <w:name w:val="样式2"/>
    <w:basedOn w:val="Default"/>
    <w:qFormat/>
    <w:pPr>
      <w:spacing w:line="360" w:lineRule="auto"/>
    </w:pPr>
    <w:rPr>
      <w:rFonts w:ascii="Calibri" w:eastAsia="宋体" w:hAnsi="Calibri" w:cstheme="minorBidi"/>
      <w:b/>
      <w:bCs/>
      <w:color w:val="auto"/>
      <w:kern w:val="2"/>
      <w:sz w:val="28"/>
      <w:szCs w:val="28"/>
    </w:rPr>
  </w:style>
  <w:style w:type="paragraph" w:customStyle="1" w:styleId="zhengwen">
    <w:name w:val="zhengwen"/>
    <w:basedOn w:val="Normal"/>
    <w:qFormat/>
    <w:rPr>
      <w:rFonts w:ascii="Calibri" w:hAnsi="Calibri" w:cs="微软雅黑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rFonts w:eastAsia="SimSun-ExtB"/>
      <w:kern w:val="2"/>
      <w:sz w:val="24"/>
      <w:szCs w:val="24"/>
    </w:rPr>
  </w:style>
  <w:style w:type="paragraph" w:customStyle="1" w:styleId="20">
    <w:name w:val="修订2"/>
    <w:hidden/>
    <w:uiPriority w:val="99"/>
    <w:semiHidden/>
    <w:qFormat/>
    <w:rPr>
      <w:rFonts w:eastAsia="SimSun-ExtB"/>
      <w:kern w:val="2"/>
      <w:sz w:val="24"/>
      <w:szCs w:val="24"/>
    </w:rPr>
  </w:style>
  <w:style w:type="paragraph" w:styleId="Revision">
    <w:name w:val="Revision"/>
    <w:hidden/>
    <w:uiPriority w:val="99"/>
    <w:semiHidden/>
    <w:rsid w:val="008D46F9"/>
    <w:rPr>
      <w:rFonts w:eastAsia="SimSun-ExtB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C039EC29-5078-4D2F-A21A-425A7CC1D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Yuwei Tang</dc:creator>
  <cp:lastModifiedBy>JIN Chengcheng</cp:lastModifiedBy>
  <cp:revision>3</cp:revision>
  <cp:lastPrinted>2020-03-09T16:14:00Z</cp:lastPrinted>
  <dcterms:created xsi:type="dcterms:W3CDTF">2022-04-14T08:24:00Z</dcterms:created>
  <dcterms:modified xsi:type="dcterms:W3CDTF">2022-04-14T08:25:00Z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CF5C0AF02F314E39B0B6BA4A100678E6</vt:lpwstr>
  </property>
</Properties>
</file>